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603" w:rsidRPr="00542603" w:rsidRDefault="00542603" w:rsidP="00542603">
      <w:pPr>
        <w:spacing w:line="280" w:lineRule="exact"/>
        <w:rPr>
          <w:rFonts w:ascii="微软雅黑" w:eastAsia="微软雅黑" w:hAnsi="微软雅黑"/>
          <w:sz w:val="24"/>
          <w:szCs w:val="24"/>
        </w:rPr>
      </w:pPr>
    </w:p>
    <w:p w:rsidR="00542603" w:rsidRPr="00542603" w:rsidRDefault="00542603" w:rsidP="008339BB">
      <w:pPr>
        <w:spacing w:line="500" w:lineRule="exact"/>
        <w:jc w:val="center"/>
        <w:rPr>
          <w:rFonts w:ascii="微软雅黑" w:eastAsia="微软雅黑" w:hAnsi="微软雅黑" w:hint="eastAsia"/>
          <w:b/>
          <w:bCs/>
          <w:color w:val="7030A0"/>
          <w:sz w:val="36"/>
          <w:szCs w:val="36"/>
        </w:rPr>
      </w:pPr>
      <w:r w:rsidRPr="00542603">
        <w:rPr>
          <w:rFonts w:ascii="微软雅黑" w:eastAsia="微软雅黑" w:hAnsi="微软雅黑" w:hint="eastAsia"/>
          <w:b/>
          <w:bCs/>
          <w:color w:val="7030A0"/>
          <w:sz w:val="36"/>
          <w:szCs w:val="36"/>
        </w:rPr>
        <w:t>最高人民法院</w:t>
      </w:r>
      <w:r w:rsidRPr="00542603">
        <w:rPr>
          <w:rFonts w:ascii="微软雅黑" w:eastAsia="微软雅黑" w:hAnsi="微软雅黑"/>
          <w:b/>
          <w:bCs/>
          <w:color w:val="7030A0"/>
          <w:sz w:val="36"/>
          <w:szCs w:val="36"/>
        </w:rPr>
        <w:t> 最高人民检察院</w:t>
      </w:r>
    </w:p>
    <w:p w:rsidR="00542603" w:rsidRPr="00542603" w:rsidRDefault="00542603" w:rsidP="008339BB">
      <w:pPr>
        <w:spacing w:line="500" w:lineRule="exact"/>
        <w:jc w:val="center"/>
        <w:rPr>
          <w:rFonts w:ascii="微软雅黑" w:eastAsia="微软雅黑" w:hAnsi="微软雅黑"/>
          <w:b/>
          <w:bCs/>
          <w:color w:val="7030A0"/>
          <w:sz w:val="36"/>
          <w:szCs w:val="36"/>
        </w:rPr>
      </w:pPr>
      <w:r w:rsidRPr="00542603">
        <w:rPr>
          <w:rFonts w:ascii="微软雅黑" w:eastAsia="微软雅黑" w:hAnsi="微软雅黑" w:hint="eastAsia"/>
          <w:b/>
          <w:bCs/>
          <w:color w:val="7030A0"/>
          <w:sz w:val="36"/>
          <w:szCs w:val="36"/>
        </w:rPr>
        <w:t>关于办理利用未公开信息交易刑事案件适用法律若干问题的解释</w:t>
      </w:r>
    </w:p>
    <w:p w:rsidR="00542603" w:rsidRPr="00542603" w:rsidRDefault="00542603" w:rsidP="008339BB">
      <w:pPr>
        <w:spacing w:line="240" w:lineRule="exact"/>
        <w:jc w:val="center"/>
        <w:rPr>
          <w:rFonts w:ascii="微软雅黑" w:eastAsia="微软雅黑" w:hAnsi="微软雅黑"/>
          <w:sz w:val="22"/>
        </w:rPr>
      </w:pPr>
    </w:p>
    <w:p w:rsidR="00542603" w:rsidRPr="00542603" w:rsidRDefault="00542603" w:rsidP="008339BB">
      <w:pPr>
        <w:spacing w:line="240" w:lineRule="exact"/>
        <w:jc w:val="center"/>
        <w:rPr>
          <w:rFonts w:ascii="微软雅黑" w:eastAsia="微软雅黑" w:hAnsi="微软雅黑"/>
          <w:sz w:val="22"/>
        </w:rPr>
      </w:pPr>
      <w:r w:rsidRPr="00542603">
        <w:rPr>
          <w:rFonts w:ascii="微软雅黑" w:eastAsia="微软雅黑" w:hAnsi="微软雅黑" w:hint="eastAsia"/>
          <w:sz w:val="22"/>
        </w:rPr>
        <w:t>2019-07-01</w:t>
      </w:r>
    </w:p>
    <w:p w:rsidR="00362417" w:rsidRDefault="00362417" w:rsidP="008339BB">
      <w:pPr>
        <w:widowControl/>
        <w:spacing w:line="240" w:lineRule="exact"/>
        <w:jc w:val="center"/>
        <w:rPr>
          <w:rFonts w:ascii="微软雅黑" w:eastAsia="微软雅黑" w:hAnsi="微软雅黑" w:cs="宋体"/>
          <w:sz w:val="22"/>
        </w:rPr>
      </w:pPr>
    </w:p>
    <w:p w:rsidR="00362417" w:rsidRDefault="00362417" w:rsidP="008339BB">
      <w:pPr>
        <w:pStyle w:val="a3"/>
        <w:spacing w:line="240" w:lineRule="exact"/>
        <w:rPr>
          <w:rFonts w:ascii="微软雅黑" w:eastAsia="微软雅黑" w:hAnsi="微软雅黑" w:hint="eastAsia"/>
          <w:sz w:val="22"/>
          <w:szCs w:val="22"/>
        </w:rPr>
      </w:pPr>
      <w:r>
        <w:rPr>
          <w:rFonts w:ascii="微软雅黑" w:eastAsia="微软雅黑" w:hAnsi="微软雅黑" w:hint="eastAsia"/>
          <w:sz w:val="22"/>
          <w:szCs w:val="22"/>
        </w:rPr>
        <w:t>法释〔2019〕1</w:t>
      </w:r>
      <w:r>
        <w:rPr>
          <w:rFonts w:ascii="微软雅黑" w:eastAsia="微软雅黑" w:hAnsi="微软雅黑" w:hint="eastAsia"/>
          <w:sz w:val="22"/>
          <w:szCs w:val="22"/>
        </w:rPr>
        <w:t>0</w:t>
      </w:r>
      <w:r>
        <w:rPr>
          <w:rFonts w:ascii="微软雅黑" w:eastAsia="微软雅黑" w:hAnsi="微软雅黑" w:hint="eastAsia"/>
          <w:sz w:val="22"/>
          <w:szCs w:val="22"/>
        </w:rPr>
        <w:t>号</w:t>
      </w:r>
      <w:bookmarkStart w:id="0" w:name="_GoBack"/>
      <w:bookmarkEnd w:id="0"/>
    </w:p>
    <w:p w:rsidR="00542603" w:rsidRPr="00542603" w:rsidRDefault="00542603" w:rsidP="008339BB">
      <w:pPr>
        <w:spacing w:line="240" w:lineRule="exact"/>
        <w:rPr>
          <w:rFonts w:ascii="微软雅黑" w:eastAsia="微软雅黑" w:hAnsi="微软雅黑" w:hint="eastAsia"/>
          <w:sz w:val="22"/>
        </w:rPr>
      </w:pPr>
    </w:p>
    <w:p w:rsidR="00542603" w:rsidRPr="00542603" w:rsidRDefault="00542603" w:rsidP="00542603">
      <w:pPr>
        <w:spacing w:line="280" w:lineRule="exact"/>
        <w:ind w:leftChars="200" w:left="420" w:rightChars="200" w:right="420" w:firstLineChars="200" w:firstLine="440"/>
        <w:jc w:val="left"/>
        <w:rPr>
          <w:rFonts w:ascii="微软雅黑" w:eastAsia="微软雅黑" w:hAnsi="微软雅黑"/>
          <w:sz w:val="22"/>
        </w:rPr>
      </w:pPr>
      <w:r w:rsidRPr="00542603">
        <w:rPr>
          <w:rFonts w:ascii="微软雅黑" w:eastAsia="微软雅黑" w:hAnsi="微软雅黑" w:hint="eastAsia"/>
          <w:sz w:val="22"/>
        </w:rPr>
        <w:t>（</w:t>
      </w:r>
      <w:r w:rsidRPr="00542603">
        <w:rPr>
          <w:rFonts w:ascii="微软雅黑" w:eastAsia="微软雅黑" w:hAnsi="微软雅黑"/>
          <w:sz w:val="22"/>
        </w:rPr>
        <w:t>2018年9月10日最高人民法院审判委员会第1748次会议、2018年11月30日最高人民检察院第十三届检察委员会第十次会议通过，自2019年7月1日起施行）</w:t>
      </w:r>
    </w:p>
    <w:p w:rsidR="00542603" w:rsidRPr="00362417" w:rsidRDefault="00542603" w:rsidP="00362417">
      <w:pPr>
        <w:spacing w:line="240" w:lineRule="exact"/>
        <w:ind w:firstLineChars="200" w:firstLine="440"/>
        <w:rPr>
          <w:rFonts w:ascii="微软雅黑" w:eastAsia="微软雅黑" w:hAnsi="微软雅黑"/>
          <w:sz w:val="22"/>
        </w:rPr>
      </w:pPr>
    </w:p>
    <w:p w:rsidR="00362417" w:rsidRPr="00362417" w:rsidRDefault="00542603" w:rsidP="008339BB">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sz w:val="22"/>
        </w:rPr>
        <w:t>为依法惩治证券、期货犯罪，维护证券、期货市场管理秩序，促进证券、期货市场稳定健康发展，保护投资者合法权益，根据《中华人民共和国刑法》《中华人民共和国刑事诉讼法》的规定，现就办理利用未公开信息交易刑事案件适用法律的若干问题解释如下：</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b/>
          <w:bCs/>
          <w:sz w:val="22"/>
        </w:rPr>
        <w:t>第一条</w:t>
      </w:r>
      <w:r w:rsidRPr="00362417">
        <w:rPr>
          <w:rFonts w:ascii="微软雅黑" w:eastAsia="微软雅黑" w:hAnsi="微软雅黑" w:hint="eastAsia"/>
          <w:sz w:val="22"/>
        </w:rPr>
        <w:t xml:space="preserve">　刑法第一百八十条第四款规定的“内幕信息以外的其他未公开的信息”，包括下列信息：</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sz w:val="22"/>
        </w:rPr>
        <w:t>（一）证券、期货的投资决策、交易执行信息；</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sz w:val="22"/>
        </w:rPr>
        <w:t>（二）证券持仓数量及变化、资金数量及变化、交易动向信息；</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sz w:val="22"/>
        </w:rPr>
        <w:t>（三）其他可能影响证券、期货交易活动的信息。</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b/>
          <w:bCs/>
          <w:sz w:val="22"/>
        </w:rPr>
        <w:t>第二条</w:t>
      </w:r>
      <w:r w:rsidRPr="00362417">
        <w:rPr>
          <w:rFonts w:ascii="微软雅黑" w:eastAsia="微软雅黑" w:hAnsi="微软雅黑" w:hint="eastAsia"/>
          <w:sz w:val="22"/>
        </w:rPr>
        <w:t xml:space="preserve">　内幕信息以外的其他未公开的信息难以认定的，司法机关可以在有关行政主（监）管部门的认定意见的基础上，根据案件事实和法律规定</w:t>
      </w:r>
      <w:proofErr w:type="gramStart"/>
      <w:r w:rsidRPr="00362417">
        <w:rPr>
          <w:rFonts w:ascii="微软雅黑" w:eastAsia="微软雅黑" w:hAnsi="微软雅黑" w:hint="eastAsia"/>
          <w:sz w:val="22"/>
        </w:rPr>
        <w:t>作出</w:t>
      </w:r>
      <w:proofErr w:type="gramEnd"/>
      <w:r w:rsidRPr="00362417">
        <w:rPr>
          <w:rFonts w:ascii="微软雅黑" w:eastAsia="微软雅黑" w:hAnsi="微软雅黑" w:hint="eastAsia"/>
          <w:sz w:val="22"/>
        </w:rPr>
        <w:t>认定。</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b/>
          <w:bCs/>
          <w:sz w:val="22"/>
        </w:rPr>
        <w:t>第三条</w:t>
      </w:r>
      <w:r w:rsidRPr="00362417">
        <w:rPr>
          <w:rFonts w:ascii="微软雅黑" w:eastAsia="微软雅黑" w:hAnsi="微软雅黑" w:hint="eastAsia"/>
          <w:sz w:val="22"/>
        </w:rPr>
        <w:t xml:space="preserve">　刑法第一百八十条第四款规定的“违反规定”，是指违反法律、行政法规、部门规章、全国性行业规范有关证券、期货未公开信息保护的规定，以及行为人所在的金融机构有关信息保密、禁止交易、禁止利益输送等规定。</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b/>
          <w:bCs/>
          <w:sz w:val="22"/>
        </w:rPr>
        <w:t>第四条</w:t>
      </w:r>
      <w:r w:rsidRPr="00362417">
        <w:rPr>
          <w:rFonts w:ascii="微软雅黑" w:eastAsia="微软雅黑" w:hAnsi="微软雅黑" w:hint="eastAsia"/>
          <w:sz w:val="22"/>
        </w:rPr>
        <w:t xml:space="preserve">　刑法第一百八十条第四款规定的行为人“明示、暗示他人从事相关交易活动”，应当综合以下方面进行认定：</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sz w:val="22"/>
        </w:rPr>
        <w:t>（一）行为人具有获取未公开信息的职务便利；</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sz w:val="22"/>
        </w:rPr>
        <w:t>（二）行为人获取未公开信息的初始时间与他人从事相关交易活动的初始时间具有关联性；</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sz w:val="22"/>
        </w:rPr>
        <w:t>（三）行为人与他人之间具有亲友关系、利益关联、交易终端关联等关联关系；</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sz w:val="22"/>
        </w:rPr>
        <w:t>（四）他人从事相关交易的证券、期货品种、交易时间与未公开信息所涉证券、期货品种、交易时间等方面基本一致；</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sz w:val="22"/>
        </w:rPr>
        <w:t>（五）他人从事的相关交易活动明显不具有符合交易习惯、专业判断等正当理由；</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sz w:val="22"/>
        </w:rPr>
        <w:t>（六）行为人对明示、暗示他人从事相关交易活动没有合理解释。</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b/>
          <w:bCs/>
          <w:sz w:val="22"/>
        </w:rPr>
        <w:t>第五条</w:t>
      </w:r>
      <w:r w:rsidRPr="00362417">
        <w:rPr>
          <w:rFonts w:ascii="微软雅黑" w:eastAsia="微软雅黑" w:hAnsi="微软雅黑" w:hint="eastAsia"/>
          <w:sz w:val="22"/>
        </w:rPr>
        <w:t xml:space="preserve">　利用未公开信息交易，具有下列情形之一的，应当认定为刑法第一百八十条第四款规定的“情节严重”：</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sz w:val="22"/>
        </w:rPr>
        <w:t>（一）违法所得数额在一百万元以上的；</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sz w:val="22"/>
        </w:rPr>
        <w:t>（二）二年内三次以上利用未公开信息交易的；</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sz w:val="22"/>
        </w:rPr>
        <w:t>（三）明示、暗示三人以上从事相关交易活动的。</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b/>
          <w:bCs/>
          <w:sz w:val="22"/>
        </w:rPr>
        <w:t>第六条</w:t>
      </w:r>
      <w:r w:rsidRPr="00362417">
        <w:rPr>
          <w:rFonts w:ascii="微软雅黑" w:eastAsia="微软雅黑" w:hAnsi="微软雅黑" w:hint="eastAsia"/>
          <w:sz w:val="22"/>
        </w:rPr>
        <w:t xml:space="preserve">　利用未公开信息交易，违法所得数额在五十万元以上，或者证券交易成交额在五百万元以上，或者期货交易占用保证金数额在一百万元以上，具有下列情形之一的，应当认定为刑法第一百八十条第四款规定的“情节严重”：</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sz w:val="22"/>
        </w:rPr>
        <w:t>（一）以出售或者变相出售未公开信息等方式，明示、暗示他人从事相关交易活动的；</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sz w:val="22"/>
        </w:rPr>
        <w:t>（二）因证券、期货犯罪行为受过刑事追究的；</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sz w:val="22"/>
        </w:rPr>
        <w:t>（三）二年内因证券、期货违法行为受过行政处罚的；</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sz w:val="22"/>
        </w:rPr>
        <w:t>（四）造成恶劣社会影响或者其他严重后果的。</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b/>
          <w:bCs/>
          <w:sz w:val="22"/>
        </w:rPr>
        <w:t>第七条</w:t>
      </w:r>
      <w:r w:rsidRPr="00362417">
        <w:rPr>
          <w:rFonts w:ascii="微软雅黑" w:eastAsia="微软雅黑" w:hAnsi="微软雅黑" w:hint="eastAsia"/>
          <w:sz w:val="22"/>
        </w:rPr>
        <w:t xml:space="preserve">　刑法第一百八十条第四款规定的“依照第一款的规定处罚”，包括该条第一款关于“情节特别严重”的规定。</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sz w:val="22"/>
        </w:rPr>
        <w:t>利用未公开信息交易，违法所得数额在一千万元以上的，应当认定为“情节特别严重”。</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sz w:val="22"/>
        </w:rPr>
        <w:t>违法所得数额在五百万元以上，或者证券交易成交额在五千万元以上，或者期货交易占用保证金数额在一千万元以上，具有本解释第六条规定的四种情形之一的，应当认定为“情节特别严重”。</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b/>
          <w:bCs/>
          <w:sz w:val="22"/>
        </w:rPr>
        <w:t>第八条</w:t>
      </w:r>
      <w:r w:rsidRPr="00362417">
        <w:rPr>
          <w:rFonts w:ascii="微软雅黑" w:eastAsia="微软雅黑" w:hAnsi="微软雅黑" w:hint="eastAsia"/>
          <w:sz w:val="22"/>
        </w:rPr>
        <w:t xml:space="preserve">　二次以上利用未公开信息交易，依法应</w:t>
      </w:r>
      <w:proofErr w:type="gramStart"/>
      <w:r w:rsidRPr="00362417">
        <w:rPr>
          <w:rFonts w:ascii="微软雅黑" w:eastAsia="微软雅黑" w:hAnsi="微软雅黑" w:hint="eastAsia"/>
          <w:sz w:val="22"/>
        </w:rPr>
        <w:t>予行政处理</w:t>
      </w:r>
      <w:proofErr w:type="gramEnd"/>
      <w:r w:rsidRPr="00362417">
        <w:rPr>
          <w:rFonts w:ascii="微软雅黑" w:eastAsia="微软雅黑" w:hAnsi="微软雅黑" w:hint="eastAsia"/>
          <w:sz w:val="22"/>
        </w:rPr>
        <w:t>或者刑事处理而未经处理的，相关交易数额或者违法所得数额累计计算。</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b/>
          <w:bCs/>
          <w:sz w:val="22"/>
        </w:rPr>
        <w:t>第九条</w:t>
      </w:r>
      <w:r w:rsidRPr="00362417">
        <w:rPr>
          <w:rFonts w:ascii="微软雅黑" w:eastAsia="微软雅黑" w:hAnsi="微软雅黑" w:hint="eastAsia"/>
          <w:sz w:val="22"/>
        </w:rPr>
        <w:t xml:space="preserve">　本解释所称“违法所得”，是指行为人利用未公开信息从事与该信息相关的证券、期货交易活动所获利</w:t>
      </w:r>
      <w:proofErr w:type="gramStart"/>
      <w:r w:rsidRPr="00362417">
        <w:rPr>
          <w:rFonts w:ascii="微软雅黑" w:eastAsia="微软雅黑" w:hAnsi="微软雅黑" w:hint="eastAsia"/>
          <w:sz w:val="22"/>
        </w:rPr>
        <w:t>益或者</w:t>
      </w:r>
      <w:proofErr w:type="gramEnd"/>
      <w:r w:rsidRPr="00362417">
        <w:rPr>
          <w:rFonts w:ascii="微软雅黑" w:eastAsia="微软雅黑" w:hAnsi="微软雅黑" w:hint="eastAsia"/>
          <w:sz w:val="22"/>
        </w:rPr>
        <w:t>避免的损失。</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sz w:val="22"/>
        </w:rPr>
        <w:t>行为人明示、暗示他人利用未公开信息从事相关交易活动，被明示、暗示人员从事相关交易活动所获利</w:t>
      </w:r>
      <w:proofErr w:type="gramStart"/>
      <w:r w:rsidRPr="00362417">
        <w:rPr>
          <w:rFonts w:ascii="微软雅黑" w:eastAsia="微软雅黑" w:hAnsi="微软雅黑" w:hint="eastAsia"/>
          <w:sz w:val="22"/>
        </w:rPr>
        <w:t>益或者</w:t>
      </w:r>
      <w:proofErr w:type="gramEnd"/>
      <w:r w:rsidRPr="00362417">
        <w:rPr>
          <w:rFonts w:ascii="微软雅黑" w:eastAsia="微软雅黑" w:hAnsi="微软雅黑" w:hint="eastAsia"/>
          <w:sz w:val="22"/>
        </w:rPr>
        <w:t>避免的损失，应当认定为“违法所得”。</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b/>
          <w:bCs/>
          <w:sz w:val="22"/>
        </w:rPr>
        <w:t>第十条</w:t>
      </w:r>
      <w:r w:rsidRPr="00362417">
        <w:rPr>
          <w:rFonts w:ascii="微软雅黑" w:eastAsia="微软雅黑" w:hAnsi="微软雅黑" w:hint="eastAsia"/>
          <w:sz w:val="22"/>
        </w:rPr>
        <w:t xml:space="preserve">　行为人未实际从事与未公开信息相关的证券、期货交易活动的，其罚金数额按照被明示、暗示人员从事相关交易活动的违法所得计算。</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b/>
          <w:bCs/>
          <w:sz w:val="22"/>
        </w:rPr>
        <w:t>第十一条</w:t>
      </w:r>
      <w:r w:rsidRPr="00362417">
        <w:rPr>
          <w:rFonts w:ascii="微软雅黑" w:eastAsia="微软雅黑" w:hAnsi="微软雅黑" w:hint="eastAsia"/>
          <w:sz w:val="22"/>
        </w:rPr>
        <w:t xml:space="preserve">　符合本解释第五条、第六条规定的标准，行为人如实供述犯罪事实，认罪悔罪，并积极配合调查，退缴违法所得的，可以从轻处罚；其中犯罪情节轻微的，可以依法不起诉或者免予刑事处罚。</w:t>
      </w:r>
    </w:p>
    <w:p w:rsidR="00542603" w:rsidRPr="00362417" w:rsidRDefault="00542603" w:rsidP="00362417">
      <w:pPr>
        <w:spacing w:line="240" w:lineRule="exact"/>
        <w:ind w:firstLineChars="200" w:firstLine="440"/>
        <w:rPr>
          <w:rFonts w:ascii="微软雅黑" w:eastAsia="微软雅黑" w:hAnsi="微软雅黑" w:hint="eastAsia"/>
          <w:sz w:val="22"/>
        </w:rPr>
      </w:pPr>
      <w:r w:rsidRPr="00362417">
        <w:rPr>
          <w:rFonts w:ascii="微软雅黑" w:eastAsia="微软雅黑" w:hAnsi="微软雅黑" w:hint="eastAsia"/>
          <w:sz w:val="22"/>
        </w:rPr>
        <w:t>符合刑事诉讼法规定的认罪认罚从宽适用范围和条件的，依照刑事诉讼法的规定处理。</w:t>
      </w:r>
    </w:p>
    <w:p w:rsidR="00CC7824" w:rsidRPr="00362417" w:rsidRDefault="00542603" w:rsidP="00362417">
      <w:pPr>
        <w:spacing w:line="240" w:lineRule="exact"/>
        <w:ind w:firstLineChars="200" w:firstLine="440"/>
        <w:rPr>
          <w:rFonts w:ascii="微软雅黑" w:eastAsia="微软雅黑" w:hAnsi="微软雅黑"/>
          <w:sz w:val="22"/>
        </w:rPr>
      </w:pPr>
      <w:r w:rsidRPr="00362417">
        <w:rPr>
          <w:rFonts w:ascii="微软雅黑" w:eastAsia="微软雅黑" w:hAnsi="微软雅黑" w:hint="eastAsia"/>
          <w:b/>
          <w:bCs/>
          <w:sz w:val="22"/>
        </w:rPr>
        <w:t>第十二条</w:t>
      </w:r>
      <w:r w:rsidRPr="00362417">
        <w:rPr>
          <w:rFonts w:ascii="微软雅黑" w:eastAsia="微软雅黑" w:hAnsi="微软雅黑" w:hint="eastAsia"/>
          <w:sz w:val="22"/>
        </w:rPr>
        <w:t xml:space="preserve">　本</w:t>
      </w:r>
      <w:proofErr w:type="gramStart"/>
      <w:r w:rsidRPr="00362417">
        <w:rPr>
          <w:rFonts w:ascii="微软雅黑" w:eastAsia="微软雅黑" w:hAnsi="微软雅黑" w:hint="eastAsia"/>
          <w:sz w:val="22"/>
        </w:rPr>
        <w:t>解释自</w:t>
      </w:r>
      <w:proofErr w:type="gramEnd"/>
      <w:r w:rsidRPr="00362417">
        <w:rPr>
          <w:rFonts w:ascii="微软雅黑" w:eastAsia="微软雅黑" w:hAnsi="微软雅黑"/>
          <w:sz w:val="22"/>
        </w:rPr>
        <w:t>2019年7月1日起施行。</w:t>
      </w:r>
    </w:p>
    <w:sectPr w:rsidR="00CC7824" w:rsidRPr="00362417" w:rsidSect="00335CBB">
      <w:pgSz w:w="11906" w:h="16838"/>
      <w:pgMar w:top="720" w:right="720" w:bottom="720" w:left="720" w:header="283"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207" w:rsidRDefault="00A46207" w:rsidP="00335CBB">
      <w:r>
        <w:separator/>
      </w:r>
    </w:p>
  </w:endnote>
  <w:endnote w:type="continuationSeparator" w:id="0">
    <w:p w:rsidR="00A46207" w:rsidRDefault="00A46207" w:rsidP="0033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207" w:rsidRDefault="00A46207" w:rsidP="00335CBB">
      <w:r>
        <w:separator/>
      </w:r>
    </w:p>
  </w:footnote>
  <w:footnote w:type="continuationSeparator" w:id="0">
    <w:p w:rsidR="00A46207" w:rsidRDefault="00A46207" w:rsidP="00335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03"/>
    <w:rsid w:val="00335CBB"/>
    <w:rsid w:val="00362417"/>
    <w:rsid w:val="0046790D"/>
    <w:rsid w:val="00542603"/>
    <w:rsid w:val="008339BB"/>
    <w:rsid w:val="00884F26"/>
    <w:rsid w:val="00A46207"/>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7299"/>
  <w15:chartTrackingRefBased/>
  <w15:docId w15:val="{7C2A2725-D20A-46CC-9331-44F76900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号"/>
    <w:basedOn w:val="a4"/>
    <w:qFormat/>
    <w:rsid w:val="00362417"/>
    <w:pPr>
      <w:jc w:val="center"/>
    </w:pPr>
    <w:rPr>
      <w:rFonts w:ascii="宋体" w:eastAsia="楷体_GB2312" w:hAnsi="宋体"/>
      <w:sz w:val="32"/>
      <w:szCs w:val="21"/>
    </w:rPr>
  </w:style>
  <w:style w:type="paragraph" w:styleId="a4">
    <w:name w:val="Plain Text"/>
    <w:basedOn w:val="a"/>
    <w:link w:val="a5"/>
    <w:uiPriority w:val="99"/>
    <w:semiHidden/>
    <w:unhideWhenUsed/>
    <w:rsid w:val="00362417"/>
    <w:rPr>
      <w:rFonts w:asciiTheme="minorEastAsia" w:hAnsi="Courier New" w:cs="Courier New"/>
    </w:rPr>
  </w:style>
  <w:style w:type="character" w:customStyle="1" w:styleId="a5">
    <w:name w:val="纯文本 字符"/>
    <w:basedOn w:val="a0"/>
    <w:link w:val="a4"/>
    <w:uiPriority w:val="99"/>
    <w:semiHidden/>
    <w:rsid w:val="00362417"/>
    <w:rPr>
      <w:rFonts w:asciiTheme="minorEastAsia" w:hAnsi="Courier New" w:cs="Courier New"/>
    </w:rPr>
  </w:style>
  <w:style w:type="paragraph" w:styleId="a6">
    <w:name w:val="header"/>
    <w:basedOn w:val="a"/>
    <w:link w:val="a7"/>
    <w:uiPriority w:val="99"/>
    <w:unhideWhenUsed/>
    <w:rsid w:val="00335CB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35CBB"/>
    <w:rPr>
      <w:sz w:val="18"/>
      <w:szCs w:val="18"/>
    </w:rPr>
  </w:style>
  <w:style w:type="paragraph" w:styleId="a8">
    <w:name w:val="footer"/>
    <w:basedOn w:val="a"/>
    <w:link w:val="a9"/>
    <w:uiPriority w:val="99"/>
    <w:unhideWhenUsed/>
    <w:rsid w:val="00335CBB"/>
    <w:pPr>
      <w:tabs>
        <w:tab w:val="center" w:pos="4153"/>
        <w:tab w:val="right" w:pos="8306"/>
      </w:tabs>
      <w:snapToGrid w:val="0"/>
      <w:jc w:val="left"/>
    </w:pPr>
    <w:rPr>
      <w:sz w:val="18"/>
      <w:szCs w:val="18"/>
    </w:rPr>
  </w:style>
  <w:style w:type="character" w:customStyle="1" w:styleId="a9">
    <w:name w:val="页脚 字符"/>
    <w:basedOn w:val="a0"/>
    <w:link w:val="a8"/>
    <w:uiPriority w:val="99"/>
    <w:rsid w:val="00335C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66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4</cp:revision>
  <dcterms:created xsi:type="dcterms:W3CDTF">2025-11-17T03:32:00Z</dcterms:created>
  <dcterms:modified xsi:type="dcterms:W3CDTF">2025-11-17T03:43:00Z</dcterms:modified>
</cp:coreProperties>
</file>